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2982" w14:textId="720B044D" w:rsidR="00BC463F" w:rsidRDefault="009223BA" w:rsidP="00BC463F">
      <w:pPr>
        <w:bidi/>
        <w:jc w:val="center"/>
        <w:rPr>
          <w:rFonts w:cs="Arial"/>
          <w:b/>
          <w:bCs/>
          <w:sz w:val="36"/>
          <w:szCs w:val="36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>اعلان عن مسابقة وطنية للالتحاق بالتكوين في الطور الثالث دكتوراه بعنوان السنة الجامعية 224-2025</w:t>
      </w:r>
    </w:p>
    <w:p w14:paraId="2BB0FDE0" w14:textId="25A2991C" w:rsidR="009223BA" w:rsidRPr="00A51DD2" w:rsidRDefault="00A51DD2" w:rsidP="009223BA">
      <w:pPr>
        <w:bidi/>
        <w:jc w:val="center"/>
        <w:rPr>
          <w:rFonts w:cs="Arial"/>
          <w:b/>
          <w:bCs/>
          <w:sz w:val="28"/>
          <w:szCs w:val="28"/>
          <w:u w:val="single"/>
        </w:rPr>
      </w:pPr>
      <w:r w:rsidRPr="00A51DD2">
        <w:rPr>
          <w:rFonts w:cs="Arial"/>
          <w:b/>
          <w:bCs/>
          <w:sz w:val="28"/>
          <w:szCs w:val="28"/>
          <w:u w:val="single"/>
        </w:rPr>
        <w:t>Concours national d’accès à la formation de troisième cycle Doctorat au titre de l’année universitaire 2024-2025</w:t>
      </w:r>
    </w:p>
    <w:p w14:paraId="02705B60" w14:textId="77777777" w:rsidR="00BC463F" w:rsidRPr="00BC463F" w:rsidRDefault="00BC463F" w:rsidP="00BC463F">
      <w:pPr>
        <w:bidi/>
        <w:jc w:val="center"/>
        <w:rPr>
          <w:b/>
          <w:bCs/>
          <w:sz w:val="36"/>
          <w:szCs w:val="36"/>
          <w:u w:val="single"/>
        </w:rPr>
      </w:pPr>
    </w:p>
    <w:p w14:paraId="6E619454" w14:textId="5B0639B9" w:rsidR="009223BA" w:rsidRPr="009223BA" w:rsidRDefault="009223BA" w:rsidP="009961D2">
      <w:pPr>
        <w:bidi/>
        <w:jc w:val="both"/>
        <w:rPr>
          <w:rFonts w:cs="Arial"/>
          <w:b/>
          <w:bCs/>
          <w:sz w:val="28"/>
          <w:szCs w:val="28"/>
          <w:rtl/>
        </w:rPr>
      </w:pPr>
      <w:r w:rsidRPr="009223BA">
        <w:rPr>
          <w:rFonts w:cs="Arial" w:hint="cs"/>
          <w:b/>
          <w:bCs/>
          <w:sz w:val="28"/>
          <w:szCs w:val="28"/>
          <w:rtl/>
        </w:rPr>
        <w:t xml:space="preserve">تعلن </w:t>
      </w:r>
      <w:r w:rsidR="009961D2">
        <w:rPr>
          <w:rFonts w:cs="Arial" w:hint="cs"/>
          <w:b/>
          <w:bCs/>
          <w:sz w:val="28"/>
          <w:szCs w:val="28"/>
          <w:rtl/>
        </w:rPr>
        <w:t>مدرسة ا</w:t>
      </w:r>
      <w:r w:rsidR="009961D2" w:rsidRPr="009223BA">
        <w:rPr>
          <w:rFonts w:cs="Arial" w:hint="cs"/>
          <w:b/>
          <w:bCs/>
          <w:sz w:val="28"/>
          <w:szCs w:val="28"/>
          <w:rtl/>
        </w:rPr>
        <w:t>لدراسات</w:t>
      </w:r>
      <w:r w:rsidR="009961D2">
        <w:rPr>
          <w:rFonts w:cs="Arial" w:hint="cs"/>
          <w:b/>
          <w:bCs/>
          <w:sz w:val="28"/>
          <w:szCs w:val="28"/>
          <w:rtl/>
        </w:rPr>
        <w:t xml:space="preserve"> العليا </w:t>
      </w:r>
      <w:r w:rsidRPr="009223BA">
        <w:rPr>
          <w:rFonts w:cs="Arial" w:hint="cs"/>
          <w:b/>
          <w:bCs/>
          <w:sz w:val="28"/>
          <w:szCs w:val="28"/>
          <w:rtl/>
        </w:rPr>
        <w:t>التجارية عن تنظيم مسابقة وطنية للالتحاق بالتكوين في الطور الثالث دكتوراه بعنوان السنة الجامعية 2024-2025 كما هو موضح ادناه:</w:t>
      </w:r>
    </w:p>
    <w:tbl>
      <w:tblPr>
        <w:tblStyle w:val="Grilledutableau"/>
        <w:bidiVisual/>
        <w:tblW w:w="16012" w:type="dxa"/>
        <w:tblInd w:w="-1138" w:type="dxa"/>
        <w:tblLook w:val="04A0" w:firstRow="1" w:lastRow="0" w:firstColumn="1" w:lastColumn="0" w:noHBand="0" w:noVBand="1"/>
      </w:tblPr>
      <w:tblGrid>
        <w:gridCol w:w="1548"/>
        <w:gridCol w:w="1525"/>
        <w:gridCol w:w="1079"/>
        <w:gridCol w:w="1000"/>
        <w:gridCol w:w="2711"/>
        <w:gridCol w:w="868"/>
        <w:gridCol w:w="1684"/>
        <w:gridCol w:w="2108"/>
        <w:gridCol w:w="3489"/>
      </w:tblGrid>
      <w:tr w:rsidR="009223BA" w14:paraId="1A081CDD" w14:textId="77777777" w:rsidTr="007E186C">
        <w:tc>
          <w:tcPr>
            <w:tcW w:w="1561" w:type="dxa"/>
          </w:tcPr>
          <w:p w14:paraId="3207685D" w14:textId="337E88F6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الميدان</w:t>
            </w:r>
          </w:p>
        </w:tc>
        <w:tc>
          <w:tcPr>
            <w:tcW w:w="1542" w:type="dxa"/>
          </w:tcPr>
          <w:p w14:paraId="613B7C91" w14:textId="08CF48F9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الشعبة</w:t>
            </w:r>
          </w:p>
        </w:tc>
        <w:tc>
          <w:tcPr>
            <w:tcW w:w="1079" w:type="dxa"/>
          </w:tcPr>
          <w:p w14:paraId="4226BD23" w14:textId="53F2672A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التخصص</w:t>
            </w:r>
          </w:p>
        </w:tc>
        <w:tc>
          <w:tcPr>
            <w:tcW w:w="1000" w:type="dxa"/>
          </w:tcPr>
          <w:p w14:paraId="6332C838" w14:textId="02B9F112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عدد المناصب</w:t>
            </w:r>
          </w:p>
        </w:tc>
        <w:tc>
          <w:tcPr>
            <w:tcW w:w="2751" w:type="dxa"/>
          </w:tcPr>
          <w:p w14:paraId="2E380AC0" w14:textId="60DA88B4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مواد المسابقة</w:t>
            </w:r>
          </w:p>
        </w:tc>
        <w:tc>
          <w:tcPr>
            <w:tcW w:w="709" w:type="dxa"/>
          </w:tcPr>
          <w:p w14:paraId="37012BA3" w14:textId="1CBEA6DA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المعامل</w:t>
            </w:r>
          </w:p>
        </w:tc>
        <w:tc>
          <w:tcPr>
            <w:tcW w:w="1701" w:type="dxa"/>
          </w:tcPr>
          <w:p w14:paraId="42F3D56C" w14:textId="7C04B88D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توقيت الامتحان</w:t>
            </w:r>
          </w:p>
        </w:tc>
        <w:tc>
          <w:tcPr>
            <w:tcW w:w="2126" w:type="dxa"/>
          </w:tcPr>
          <w:p w14:paraId="1F4F5578" w14:textId="709710AA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تاريخ </w:t>
            </w:r>
            <w:r w:rsidR="00F96028"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ومكان</w:t>
            </w: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المسابقة</w:t>
            </w:r>
          </w:p>
        </w:tc>
        <w:tc>
          <w:tcPr>
            <w:tcW w:w="3543" w:type="dxa"/>
          </w:tcPr>
          <w:p w14:paraId="418EB024" w14:textId="0A07943E" w:rsidR="009223BA" w:rsidRPr="009223BA" w:rsidRDefault="009223BA" w:rsidP="00F96028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9223BA"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المترشحين المعنيين بالمسابقة</w:t>
            </w:r>
          </w:p>
        </w:tc>
      </w:tr>
      <w:tr w:rsidR="009223BA" w:rsidRPr="009223BA" w14:paraId="3FBE8F7C" w14:textId="77777777" w:rsidTr="007E186C">
        <w:trPr>
          <w:trHeight w:val="1649"/>
        </w:trPr>
        <w:tc>
          <w:tcPr>
            <w:tcW w:w="1561" w:type="dxa"/>
          </w:tcPr>
          <w:p w14:paraId="3971E907" w14:textId="77777777" w:rsidR="00B14EA2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767FB7A6" w14:textId="422C52D1" w:rsidR="009223BA" w:rsidRPr="00F96028" w:rsidRDefault="009223BA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 w:rsidRPr="00F96028">
              <w:rPr>
                <w:rFonts w:cs="Arial" w:hint="cs"/>
                <w:sz w:val="24"/>
                <w:szCs w:val="24"/>
                <w:rtl/>
              </w:rPr>
              <w:t xml:space="preserve">العلوم الاقتصادية التجارية و علوم التسيير </w:t>
            </w:r>
          </w:p>
          <w:p w14:paraId="4447FE36" w14:textId="6451362F" w:rsidR="009223BA" w:rsidRPr="00F96028" w:rsidRDefault="009223BA" w:rsidP="009223BA">
            <w:pPr>
              <w:bidi/>
              <w:jc w:val="both"/>
              <w:rPr>
                <w:rFonts w:cs="Arial"/>
                <w:sz w:val="24"/>
                <w:szCs w:val="24"/>
                <w:rtl/>
                <w:lang w:bidi="ar-DZ"/>
              </w:rPr>
            </w:pPr>
            <w:r w:rsidRPr="00F96028">
              <w:rPr>
                <w:rFonts w:cs="Arial"/>
                <w:sz w:val="24"/>
                <w:szCs w:val="24"/>
              </w:rPr>
              <w:t>SECG</w:t>
            </w:r>
          </w:p>
        </w:tc>
        <w:tc>
          <w:tcPr>
            <w:tcW w:w="1542" w:type="dxa"/>
          </w:tcPr>
          <w:p w14:paraId="0939E65B" w14:textId="77777777" w:rsidR="00B14EA2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73F0CAFB" w14:textId="77777777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18F032BD" w14:textId="0D46E5F6" w:rsidR="009223BA" w:rsidRPr="00F96028" w:rsidRDefault="009223BA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 w:rsidRPr="00F96028">
              <w:rPr>
                <w:rFonts w:cs="Arial" w:hint="cs"/>
                <w:sz w:val="24"/>
                <w:szCs w:val="24"/>
                <w:rtl/>
              </w:rPr>
              <w:t xml:space="preserve">علوم التسيير </w:t>
            </w:r>
          </w:p>
        </w:tc>
        <w:tc>
          <w:tcPr>
            <w:tcW w:w="1079" w:type="dxa"/>
          </w:tcPr>
          <w:p w14:paraId="02AFAE22" w14:textId="77777777" w:rsidR="00B14EA2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51D73D53" w14:textId="77A7FD5C" w:rsidR="009223BA" w:rsidRPr="00F96028" w:rsidRDefault="009223BA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 w:rsidRPr="00F96028">
              <w:rPr>
                <w:rFonts w:cs="Arial" w:hint="cs"/>
                <w:sz w:val="24"/>
                <w:szCs w:val="24"/>
                <w:rtl/>
              </w:rPr>
              <w:t>تسيير الموارد البشرية</w:t>
            </w:r>
          </w:p>
        </w:tc>
        <w:tc>
          <w:tcPr>
            <w:tcW w:w="1000" w:type="dxa"/>
          </w:tcPr>
          <w:p w14:paraId="68237A76" w14:textId="341DDC6E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789E4073" w14:textId="6A1B6978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38AA1DCD" w14:textId="26D25D6C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06</w:t>
            </w:r>
          </w:p>
          <w:p w14:paraId="3ECD2861" w14:textId="77777777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1FAFD1AF" w14:textId="77777777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495869A0" w14:textId="096C6D75" w:rsidR="00B14EA2" w:rsidRPr="00F96028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</w:tc>
        <w:tc>
          <w:tcPr>
            <w:tcW w:w="2751" w:type="dxa"/>
          </w:tcPr>
          <w:p w14:paraId="6CCC625A" w14:textId="77777777" w:rsidR="00B14EA2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3300C933" w14:textId="6B7A6474" w:rsidR="009223BA" w:rsidRPr="00F96028" w:rsidRDefault="009961D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-مبادئ الادارة</w:t>
            </w:r>
          </w:p>
          <w:p w14:paraId="5FD8FC1C" w14:textId="110A3627" w:rsidR="009223BA" w:rsidRPr="00F96028" w:rsidRDefault="009961D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-استراتيجي</w:t>
            </w:r>
            <w:r>
              <w:rPr>
                <w:rFonts w:cs="Arial" w:hint="eastAsia"/>
                <w:sz w:val="24"/>
                <w:szCs w:val="24"/>
                <w:rtl/>
              </w:rPr>
              <w:t>ة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الموارد البشرية  </w:t>
            </w:r>
          </w:p>
        </w:tc>
        <w:tc>
          <w:tcPr>
            <w:tcW w:w="709" w:type="dxa"/>
          </w:tcPr>
          <w:p w14:paraId="04D9AF08" w14:textId="77777777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1CBCFF85" w14:textId="779AB333" w:rsidR="00B14EA2" w:rsidRPr="00F96028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-01</w:t>
            </w:r>
          </w:p>
          <w:p w14:paraId="224CA7F9" w14:textId="1E107185" w:rsidR="009223BA" w:rsidRPr="00F96028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-03</w:t>
            </w:r>
          </w:p>
        </w:tc>
        <w:tc>
          <w:tcPr>
            <w:tcW w:w="1701" w:type="dxa"/>
          </w:tcPr>
          <w:p w14:paraId="1A2E3D4E" w14:textId="77777777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798B505B" w14:textId="7CAD8F3D" w:rsidR="00B14EA2" w:rsidRDefault="00B14EA2" w:rsidP="0050056E">
            <w:pPr>
              <w:bidi/>
              <w:jc w:val="both"/>
              <w:rPr>
                <w:rFonts w:cs="Arial"/>
                <w:sz w:val="24"/>
                <w:szCs w:val="24"/>
                <w:rtl/>
                <w:lang w:bidi="ar-DZ"/>
              </w:rPr>
            </w:pPr>
            <w:r>
              <w:rPr>
                <w:rFonts w:cs="Arial" w:hint="cs"/>
                <w:sz w:val="24"/>
                <w:szCs w:val="24"/>
                <w:rtl/>
              </w:rPr>
              <w:t>13:00-</w:t>
            </w:r>
            <w:r w:rsidR="0050056E">
              <w:rPr>
                <w:rFonts w:cs="Arial"/>
                <w:sz w:val="24"/>
                <w:szCs w:val="24"/>
              </w:rPr>
              <w:t>14 :30</w:t>
            </w:r>
          </w:p>
          <w:p w14:paraId="71D4C136" w14:textId="23F9F223" w:rsidR="00F96028" w:rsidRPr="00F96028" w:rsidRDefault="00F96028" w:rsidP="00F96028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 w:rsidRPr="00F96028">
              <w:rPr>
                <w:rFonts w:cs="Arial" w:hint="cs"/>
                <w:sz w:val="24"/>
                <w:szCs w:val="24"/>
                <w:rtl/>
              </w:rPr>
              <w:t>15:00-17:00</w:t>
            </w:r>
          </w:p>
        </w:tc>
        <w:tc>
          <w:tcPr>
            <w:tcW w:w="2126" w:type="dxa"/>
          </w:tcPr>
          <w:p w14:paraId="7BE3726A" w14:textId="3A276B18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</w:p>
          <w:p w14:paraId="15444FC3" w14:textId="0DC04E43" w:rsidR="00B14EA2" w:rsidRDefault="00B14EA2" w:rsidP="00B14EA2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22/02/2025</w:t>
            </w:r>
          </w:p>
          <w:p w14:paraId="7E975268" w14:textId="7B34AD80" w:rsidR="0050056E" w:rsidRPr="00F96028" w:rsidRDefault="0050056E" w:rsidP="0050056E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بمدرسة الدراسات العليا التجارية</w:t>
            </w:r>
          </w:p>
          <w:p w14:paraId="0A0538F2" w14:textId="2EF0FF89" w:rsidR="00F96028" w:rsidRPr="00F96028" w:rsidRDefault="00F96028" w:rsidP="00F96028">
            <w:pPr>
              <w:bidi/>
              <w:jc w:val="both"/>
              <w:rPr>
                <w:rFonts w:cs="Arial"/>
                <w:sz w:val="24"/>
                <w:szCs w:val="24"/>
              </w:rPr>
            </w:pPr>
            <w:r w:rsidRPr="00F96028">
              <w:rPr>
                <w:rFonts w:cs="Arial" w:hint="cs"/>
                <w:sz w:val="24"/>
                <w:szCs w:val="24"/>
                <w:rtl/>
              </w:rPr>
              <w:t xml:space="preserve">القطب الجامعي بالقليعة </w:t>
            </w:r>
            <w:r w:rsidRPr="00F96028">
              <w:rPr>
                <w:rFonts w:cs="Arial"/>
                <w:sz w:val="24"/>
                <w:szCs w:val="24"/>
              </w:rPr>
              <w:t>EHEC</w:t>
            </w:r>
          </w:p>
        </w:tc>
        <w:tc>
          <w:tcPr>
            <w:tcW w:w="3543" w:type="dxa"/>
          </w:tcPr>
          <w:p w14:paraId="7AEE2AEF" w14:textId="77777777" w:rsidR="00B14EA2" w:rsidRDefault="00B14EA2" w:rsidP="009223BA">
            <w:pPr>
              <w:bidi/>
              <w:jc w:val="both"/>
              <w:rPr>
                <w:rFonts w:cs="Arial"/>
                <w:sz w:val="24"/>
                <w:szCs w:val="24"/>
                <w:rtl/>
                <w:lang w:bidi="ar-DZ"/>
              </w:rPr>
            </w:pPr>
          </w:p>
          <w:p w14:paraId="7240B592" w14:textId="1DF21B59" w:rsidR="009223BA" w:rsidRPr="00F96028" w:rsidRDefault="00F96028" w:rsidP="00B14EA2">
            <w:pPr>
              <w:bidi/>
              <w:jc w:val="both"/>
              <w:rPr>
                <w:rFonts w:cs="Arial"/>
                <w:sz w:val="24"/>
                <w:szCs w:val="24"/>
                <w:rtl/>
                <w:lang w:bidi="ar-DZ"/>
              </w:rPr>
            </w:pPr>
            <w:r w:rsidRPr="00F96028">
              <w:rPr>
                <w:rFonts w:cs="Arial" w:hint="cs"/>
                <w:sz w:val="24"/>
                <w:szCs w:val="24"/>
                <w:rtl/>
                <w:lang w:bidi="ar-DZ"/>
              </w:rPr>
              <w:t>-</w:t>
            </w:r>
            <w:r w:rsidR="00B14EA2">
              <w:rPr>
                <w:rFonts w:cs="Arial" w:hint="cs"/>
                <w:sz w:val="24"/>
                <w:szCs w:val="24"/>
                <w:rtl/>
                <w:lang w:bidi="ar-DZ"/>
              </w:rPr>
              <w:t xml:space="preserve"> </w:t>
            </w:r>
            <w:r w:rsidRPr="00F96028">
              <w:rPr>
                <w:rFonts w:cs="Arial" w:hint="cs"/>
                <w:sz w:val="24"/>
                <w:szCs w:val="24"/>
                <w:rtl/>
                <w:lang w:bidi="ar-DZ"/>
              </w:rPr>
              <w:t>شعبة علوم التسيير بكل تخصصاتها</w:t>
            </w:r>
          </w:p>
          <w:p w14:paraId="05664700" w14:textId="3D4901EF" w:rsidR="00F96028" w:rsidRPr="00F96028" w:rsidRDefault="00F96028" w:rsidP="003A6A16">
            <w:pPr>
              <w:bidi/>
              <w:rPr>
                <w:rFonts w:cs="Arial"/>
                <w:sz w:val="24"/>
                <w:szCs w:val="24"/>
                <w:rtl/>
                <w:lang w:bidi="ar-DZ"/>
              </w:rPr>
            </w:pPr>
            <w:r w:rsidRPr="00F96028">
              <w:rPr>
                <w:rFonts w:cs="Arial" w:hint="cs"/>
                <w:sz w:val="24"/>
                <w:szCs w:val="24"/>
                <w:rtl/>
                <w:lang w:bidi="ar-DZ"/>
              </w:rPr>
              <w:t>-</w:t>
            </w:r>
            <w:r w:rsidR="00B14EA2">
              <w:rPr>
                <w:rFonts w:cs="Arial" w:hint="cs"/>
                <w:sz w:val="24"/>
                <w:szCs w:val="24"/>
                <w:rtl/>
                <w:lang w:bidi="ar-DZ"/>
              </w:rPr>
              <w:t xml:space="preserve"> </w:t>
            </w:r>
            <w:r w:rsidR="003A6A16" w:rsidRPr="00F96028">
              <w:rPr>
                <w:rFonts w:cs="Arial" w:hint="cs"/>
                <w:sz w:val="24"/>
                <w:szCs w:val="24"/>
                <w:rtl/>
                <w:lang w:bidi="ar-DZ"/>
              </w:rPr>
              <w:t>تخصص تسيير الموارد البشرية</w:t>
            </w:r>
            <w:r w:rsidR="003A6A16">
              <w:rPr>
                <w:rFonts w:cs="Arial" w:hint="cs"/>
                <w:sz w:val="24"/>
                <w:szCs w:val="24"/>
                <w:rtl/>
                <w:lang w:bidi="ar-DZ"/>
              </w:rPr>
              <w:t xml:space="preserve"> </w:t>
            </w:r>
            <w:r w:rsidR="003A6A16" w:rsidRPr="00F96028">
              <w:rPr>
                <w:rFonts w:cs="Arial" w:hint="cs"/>
                <w:sz w:val="24"/>
                <w:szCs w:val="24"/>
                <w:rtl/>
                <w:lang w:bidi="ar-DZ"/>
              </w:rPr>
              <w:t>و تخصص إدارة الاعما</w:t>
            </w:r>
            <w:r w:rsidR="003A6A16">
              <w:rPr>
                <w:rFonts w:cs="Arial" w:hint="cs"/>
                <w:sz w:val="24"/>
                <w:szCs w:val="24"/>
                <w:rtl/>
                <w:lang w:bidi="ar-DZ"/>
              </w:rPr>
              <w:t>ل التابعين ل</w:t>
            </w:r>
            <w:r w:rsidRPr="00F96028">
              <w:rPr>
                <w:rFonts w:cs="Arial" w:hint="cs"/>
                <w:sz w:val="24"/>
                <w:szCs w:val="24"/>
                <w:rtl/>
                <w:lang w:bidi="ar-DZ"/>
              </w:rPr>
              <w:t xml:space="preserve">شعبة العلوم التجارية </w:t>
            </w:r>
          </w:p>
        </w:tc>
      </w:tr>
    </w:tbl>
    <w:p w14:paraId="5BB232A0" w14:textId="2209D5F3" w:rsidR="00BC463F" w:rsidRPr="009223BA" w:rsidRDefault="00BC463F" w:rsidP="009223BA">
      <w:pPr>
        <w:bidi/>
        <w:jc w:val="both"/>
        <w:rPr>
          <w:rFonts w:cs="Arial"/>
          <w:b/>
          <w:bCs/>
          <w:sz w:val="28"/>
          <w:szCs w:val="28"/>
          <w:rtl/>
        </w:rPr>
      </w:pPr>
    </w:p>
    <w:p w14:paraId="082AFA93" w14:textId="0F7F5153" w:rsidR="00BC463F" w:rsidRPr="00B14EA2" w:rsidRDefault="00B14EA2" w:rsidP="00B14EA2">
      <w:pPr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هام جدا:</w:t>
      </w:r>
    </w:p>
    <w:p w14:paraId="66571A93" w14:textId="0DEAAA63" w:rsidR="00BC463F" w:rsidRPr="00927653" w:rsidRDefault="00B14EA2" w:rsidP="0050056E">
      <w:pPr>
        <w:pStyle w:val="Paragraphedeliste"/>
        <w:numPr>
          <w:ilvl w:val="0"/>
          <w:numId w:val="1"/>
        </w:numPr>
        <w:bidi/>
        <w:rPr>
          <w:rFonts w:asciiTheme="majorHAnsi" w:hAnsiTheme="majorHAnsi" w:cstheme="majorHAnsi"/>
          <w:sz w:val="24"/>
          <w:szCs w:val="24"/>
          <w:lang w:bidi="ar-DZ"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 xml:space="preserve">تتم عملية التسجيل للمشاركة في المسابقة </w:t>
      </w:r>
      <w:r w:rsidR="0050056E">
        <w:rPr>
          <w:rFonts w:asciiTheme="majorHAnsi" w:hAnsiTheme="majorHAnsi" w:cstheme="majorHAnsi" w:hint="cs"/>
          <w:sz w:val="24"/>
          <w:szCs w:val="24"/>
          <w:rtl/>
        </w:rPr>
        <w:t xml:space="preserve">حصريا </w:t>
      </w:r>
      <w:r w:rsidR="005652A4">
        <w:rPr>
          <w:rFonts w:asciiTheme="majorHAnsi" w:hAnsiTheme="majorHAnsi" w:cstheme="majorHAnsi" w:hint="cs"/>
          <w:sz w:val="24"/>
          <w:szCs w:val="24"/>
          <w:rtl/>
        </w:rPr>
        <w:t xml:space="preserve">عبر الأرضية الرقمية </w:t>
      </w:r>
      <w:proofErr w:type="spellStart"/>
      <w:r w:rsidR="005652A4" w:rsidRPr="008B0E29">
        <w:rPr>
          <w:rFonts w:asciiTheme="majorHAnsi" w:hAnsiTheme="majorHAnsi" w:cstheme="majorHAnsi"/>
          <w:b/>
          <w:bCs/>
          <w:sz w:val="24"/>
          <w:szCs w:val="24"/>
        </w:rPr>
        <w:t>Progres</w:t>
      </w:r>
      <w:proofErr w:type="spellEnd"/>
      <w:r w:rsidR="005652A4"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  خلال الفترة الممتدة من 02 الى 14 </w:t>
      </w:r>
      <w:proofErr w:type="spellStart"/>
      <w:r w:rsidR="005652A4">
        <w:rPr>
          <w:rFonts w:asciiTheme="majorHAnsi" w:hAnsiTheme="majorHAnsi" w:cstheme="majorHAnsi" w:hint="cs"/>
          <w:sz w:val="24"/>
          <w:szCs w:val="24"/>
          <w:rtl/>
          <w:lang w:bidi="ar-DZ"/>
        </w:rPr>
        <w:t>جانفي</w:t>
      </w:r>
      <w:proofErr w:type="spellEnd"/>
      <w:r w:rsidR="005652A4"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 2025 عبر </w:t>
      </w:r>
      <w:r w:rsidR="00DB1CC5"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الرابط: </w:t>
      </w:r>
      <w:hyperlink r:id="rId5" w:history="1">
        <w:r w:rsidR="0050056E" w:rsidRPr="00566053">
          <w:rPr>
            <w:rStyle w:val="Lienhypertexte"/>
            <w:rFonts w:asciiTheme="majorHAnsi" w:hAnsiTheme="majorHAnsi" w:cstheme="majorHAnsi" w:hint="cs"/>
            <w:b/>
            <w:bCs/>
            <w:sz w:val="24"/>
            <w:szCs w:val="24"/>
            <w:lang w:bidi="ar-DZ"/>
          </w:rPr>
          <w:t>https://progres.mesrs.dz/webdoctorat</w:t>
        </w:r>
      </w:hyperlink>
      <w:r w:rsidR="0050056E">
        <w:rPr>
          <w:rFonts w:asciiTheme="majorHAnsi" w:hAnsiTheme="majorHAnsi" w:cstheme="majorHAnsi" w:hint="cs"/>
          <w:b/>
          <w:bCs/>
          <w:sz w:val="24"/>
          <w:szCs w:val="24"/>
          <w:rtl/>
          <w:lang w:bidi="ar-DZ"/>
        </w:rPr>
        <w:t xml:space="preserve"> و ذلك </w:t>
      </w:r>
      <w:proofErr w:type="spellStart"/>
      <w:r w:rsidR="0050056E">
        <w:rPr>
          <w:rFonts w:asciiTheme="majorHAnsi" w:hAnsiTheme="majorHAnsi" w:cstheme="majorHAnsi" w:hint="cs"/>
          <w:b/>
          <w:bCs/>
          <w:sz w:val="24"/>
          <w:szCs w:val="24"/>
          <w:rtl/>
          <w:lang w:bidi="ar-DZ"/>
        </w:rPr>
        <w:t>بملئ</w:t>
      </w:r>
      <w:proofErr w:type="spellEnd"/>
      <w:r w:rsidR="0050056E">
        <w:rPr>
          <w:rFonts w:asciiTheme="majorHAnsi" w:hAnsiTheme="majorHAnsi" w:cstheme="majorHAnsi" w:hint="cs"/>
          <w:b/>
          <w:bCs/>
          <w:sz w:val="24"/>
          <w:szCs w:val="24"/>
          <w:rtl/>
          <w:lang w:bidi="ar-DZ"/>
        </w:rPr>
        <w:t xml:space="preserve"> استمارة الكترونية فقط تطبيقا لسياسة </w:t>
      </w:r>
      <w:r w:rsidR="0050056E">
        <w:rPr>
          <w:rFonts w:asciiTheme="majorHAnsi" w:hAnsiTheme="majorHAnsi" w:cstheme="majorHAnsi"/>
          <w:b/>
          <w:bCs/>
          <w:sz w:val="24"/>
          <w:szCs w:val="24"/>
          <w:lang w:bidi="ar-DZ"/>
        </w:rPr>
        <w:t>0</w:t>
      </w:r>
      <w:r w:rsidR="0050056E">
        <w:rPr>
          <w:rFonts w:asciiTheme="majorHAnsi" w:hAnsiTheme="majorHAnsi" w:cstheme="majorHAnsi" w:hint="cs"/>
          <w:b/>
          <w:bCs/>
          <w:sz w:val="24"/>
          <w:szCs w:val="24"/>
          <w:rtl/>
          <w:lang w:bidi="ar-DZ"/>
        </w:rPr>
        <w:t xml:space="preserve"> ورق</w:t>
      </w:r>
      <w:r w:rsidR="0050056E">
        <w:rPr>
          <w:rFonts w:asciiTheme="majorHAnsi" w:hAnsiTheme="majorHAnsi" w:cstheme="majorHAnsi" w:hint="cs"/>
          <w:sz w:val="24"/>
          <w:szCs w:val="24"/>
          <w:rtl/>
          <w:lang w:bidi="ar-DZ"/>
        </w:rPr>
        <w:t>.</w:t>
      </w:r>
    </w:p>
    <w:p w14:paraId="386EA1A1" w14:textId="7BCF5923" w:rsidR="00BC463F" w:rsidRPr="00927653" w:rsidRDefault="005652A4" w:rsidP="00927653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تفتح المسابقة الدكتوراه للمترشحين </w:t>
      </w:r>
      <w:r w:rsidR="000C1D15">
        <w:rPr>
          <w:rFonts w:asciiTheme="majorHAnsi" w:hAnsiTheme="majorHAnsi" w:cstheme="majorHAnsi" w:hint="cs"/>
          <w:sz w:val="24"/>
          <w:szCs w:val="24"/>
          <w:rtl/>
          <w:lang w:bidi="ar-DZ"/>
        </w:rPr>
        <w:t>الحائزين،</w:t>
      </w: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 زيادة عن شهادة </w:t>
      </w:r>
      <w:r w:rsidR="00DB1CC5">
        <w:rPr>
          <w:rFonts w:asciiTheme="majorHAnsi" w:hAnsiTheme="majorHAnsi" w:cstheme="majorHAnsi" w:hint="cs"/>
          <w:sz w:val="24"/>
          <w:szCs w:val="24"/>
          <w:rtl/>
          <w:lang w:bidi="ar-DZ"/>
        </w:rPr>
        <w:t>الباكالوريا،</w:t>
      </w: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 شهادة ماستر أو شهادة مهندس دولة أو شهادة مهندس معماري أو شهادة طبيب بيطري أو شهادة تتوج مسار التكوي</w:t>
      </w:r>
      <w:r w:rsidR="00191A64">
        <w:rPr>
          <w:rFonts w:asciiTheme="majorHAnsi" w:hAnsiTheme="majorHAnsi" w:cstheme="majorHAnsi" w:hint="cs"/>
          <w:sz w:val="24"/>
          <w:szCs w:val="24"/>
          <w:rtl/>
          <w:lang w:bidi="ar-DZ"/>
        </w:rPr>
        <w:t>ن المحددة مدته بخمس 05 سنوات الذ</w:t>
      </w: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>ي تضمنه المدارس العليا للأساتذة أو شهادة ماجستير أو شهادة أجنبية معترف بمعادلتها.</w:t>
      </w:r>
    </w:p>
    <w:p w14:paraId="1364F169" w14:textId="4D32DA47" w:rsidR="000C1D15" w:rsidRDefault="005652A4" w:rsidP="00927653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 xml:space="preserve">لا يمكن للمترشح أن يكون </w:t>
      </w:r>
      <w:r w:rsidR="000C1D15">
        <w:rPr>
          <w:rFonts w:asciiTheme="majorHAnsi" w:hAnsiTheme="majorHAnsi" w:cstheme="majorHAnsi" w:hint="cs"/>
          <w:sz w:val="24"/>
          <w:szCs w:val="24"/>
          <w:rtl/>
        </w:rPr>
        <w:t>مسجلا لمزاولة التكوين في الدكتوراه في أي مؤسسة للتعليم العالي وطنية أو دولية.</w:t>
      </w:r>
    </w:p>
    <w:p w14:paraId="2C96D7CD" w14:textId="43FF57FC" w:rsidR="000C1D15" w:rsidRPr="000C1D15" w:rsidRDefault="000C1D15" w:rsidP="000C1D15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  <w:rtl/>
        </w:rPr>
        <w:t xml:space="preserve">الإعلان عن قائمة المترشحين المقبولين لاجتياز المسابقة عبر الأرضية الرقمية </w:t>
      </w:r>
      <w:r w:rsidRPr="008B0E29">
        <w:rPr>
          <w:rFonts w:asciiTheme="majorHAnsi" w:hAnsiTheme="majorHAnsi" w:cstheme="majorHAnsi"/>
          <w:b/>
          <w:bCs/>
          <w:sz w:val="24"/>
          <w:szCs w:val="24"/>
        </w:rPr>
        <w:t>Progres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 xml:space="preserve">  وتأكيد المشاركة وفقا لتواريخ المسابقة.</w:t>
      </w:r>
    </w:p>
    <w:p w14:paraId="43A3D3BD" w14:textId="7378700C" w:rsidR="000C1D15" w:rsidRPr="000C1D15" w:rsidRDefault="000C1D15" w:rsidP="000C1D15">
      <w:pPr>
        <w:pStyle w:val="Paragraphedeliste"/>
        <w:numPr>
          <w:ilvl w:val="0"/>
          <w:numId w:val="1"/>
        </w:numPr>
        <w:bidi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cs"/>
          <w:sz w:val="24"/>
          <w:szCs w:val="24"/>
          <w:rtl/>
          <w:lang w:bidi="ar-DZ"/>
        </w:rPr>
        <w:t>يتم تسجيل المترشحين الناجحين في أجل لا يتعدى خمسة عشر 15 يوما من تاريخ الإعلان عن النتائج.</w:t>
      </w:r>
    </w:p>
    <w:p w14:paraId="20715DD1" w14:textId="7EFEE075" w:rsidR="00BF24EB" w:rsidRPr="00927653" w:rsidRDefault="00BF24EB" w:rsidP="00BC463F">
      <w:pPr>
        <w:bidi/>
        <w:jc w:val="both"/>
        <w:rPr>
          <w:rFonts w:cstheme="minorHAnsi"/>
        </w:rPr>
      </w:pPr>
    </w:p>
    <w:sectPr w:rsidR="00BF24EB" w:rsidRPr="00927653" w:rsidSect="00F960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B388A"/>
    <w:multiLevelType w:val="hybridMultilevel"/>
    <w:tmpl w:val="7DA4930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98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B3"/>
    <w:rsid w:val="000C1D15"/>
    <w:rsid w:val="00191A64"/>
    <w:rsid w:val="002812B3"/>
    <w:rsid w:val="002B4D88"/>
    <w:rsid w:val="003A6A16"/>
    <w:rsid w:val="004B49CE"/>
    <w:rsid w:val="0050056E"/>
    <w:rsid w:val="005652A4"/>
    <w:rsid w:val="00567FC0"/>
    <w:rsid w:val="007E186C"/>
    <w:rsid w:val="008B0E29"/>
    <w:rsid w:val="009223BA"/>
    <w:rsid w:val="00927653"/>
    <w:rsid w:val="009961D2"/>
    <w:rsid w:val="00A51DD2"/>
    <w:rsid w:val="00B14EA2"/>
    <w:rsid w:val="00BC463F"/>
    <w:rsid w:val="00BF24EB"/>
    <w:rsid w:val="00D75AC6"/>
    <w:rsid w:val="00DB1CC5"/>
    <w:rsid w:val="00EA0336"/>
    <w:rsid w:val="00F9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6AF2"/>
  <w15:chartTrackingRefBased/>
  <w15:docId w15:val="{601FE657-D121-43C3-BBBE-15BBB6F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76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92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0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progres.mesrs.dz/webdoctora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amel bicha</cp:lastModifiedBy>
  <cp:revision>2</cp:revision>
  <dcterms:created xsi:type="dcterms:W3CDTF">2024-12-31T23:05:00Z</dcterms:created>
  <dcterms:modified xsi:type="dcterms:W3CDTF">2024-12-31T23:05:00Z</dcterms:modified>
</cp:coreProperties>
</file>